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160" w:after="80"/>
        <w:jc w:val="center"/>
      </w:pPr>
      <w:r>
        <w:rPr>
          <w:b/>
          <w:color w:val="1F3A5F"/>
          <w:sz w:val="36"/>
        </w:rPr>
        <w:t>EV EXPOSURE - ONE-PAGE SUMMARY (FINAL)</w:t>
      </w:r>
    </w:p>
    <w:p>
      <w:pPr>
        <w:spacing w:after="40"/>
        <w:jc w:val="center"/>
      </w:pPr>
      <w:r>
        <w:rPr>
          <w:b w:val="0"/>
          <w:color w:val="555555"/>
          <w:sz w:val="20"/>
        </w:rPr>
        <w:t>Simkins &amp; Elgazar LLC  |  Prepared 2026-08-13  |  For The Owner</w:t>
      </w:r>
    </w:p>
    <w:p>
      <w:pPr>
        <w:spacing w:after="160"/>
        <w:jc w:val="center"/>
      </w:pPr>
      <w:r>
        <w:rPr>
          <w:b w:val="0"/>
          <w:color w:val="555555"/>
          <w:sz w:val="18"/>
        </w:rPr>
        <w:t>Confidential - Prepared by UnifiedAnalyst (automated analysis). Review before use.</w:t>
      </w:r>
    </w:p>
    <w:p>
      <w:pPr>
        <w:spacing w:before="160" w:after="80"/>
      </w:pPr>
      <w:r>
        <w:rPr>
          <w:b/>
          <w:color w:val="1F3A5F"/>
          <w:sz w:val="28"/>
        </w:rPr>
        <w:t>BOTTOM LINE</w:t>
      </w:r>
    </w:p>
    <w:p>
      <w:pPr>
        <w:spacing w:after="160"/>
      </w:pPr>
      <w:r>
        <w:rPr>
          <w:b w:val="0"/>
          <w:sz w:val="20"/>
        </w:rPr>
        <w:t>Not a 12-month emergency, not a 10-year nothing-burger. ICE revenue is not materially at risk for 3-5 more years. Tacoma is the more exposed of your two shops today, on demand-side county data. Do not borrow now. Deploy $100,000 in cash after a data gate (shop P&amp;L and RO powertrain mix); retain $50,000 as reserve. Borrowing only becomes sensible after real lender quotes, verified incremental CM at &gt;=1.5x debt service, and contracted revenue to underwrite the case.</w:t>
      </w:r>
    </w:p>
    <w:p>
      <w:pPr>
        <w:spacing w:before="160" w:after="80"/>
      </w:pPr>
      <w:r>
        <w:rPr>
          <w:b/>
          <w:color w:val="1F3A5F"/>
          <w:sz w:val="28"/>
        </w:rPr>
        <w:t>WHERE EACH SHOP SITS (verified against WA DOL EV roster; population-allocated share estimates)</w:t>
      </w:r>
    </w:p>
    <w:tbl>
      <w:tblPr>
        <w:tblStyle w:val="LightGrid-Accent1"/>
        <w:tblW w:type="auto" w:w="0"/>
        <w:tblLook w:firstColumn="1" w:firstRow="1" w:lastColumn="0" w:lastRow="0" w:noHBand="0" w:noVBand="1" w:val="04A0"/>
      </w:tblPr>
      <w:tblGrid>
        <w:gridCol w:w="2635"/>
        <w:gridCol w:w="2635"/>
        <w:gridCol w:w="2635"/>
        <w:gridCol w:w="2635"/>
      </w:tblGrid>
      <w:tr>
        <w:trPr>
          <w:tblHeader w:val="true"/>
        </w:trPr>
        <w:tc>
          <w:tcPr>
            <w:tcW w:type="dxa" w:w="2635"/>
            <w:shd w:val="clear" w:color="auto" w:fill="1F3A5F"/>
          </w:tcPr>
          <w:p>
            <w:r>
              <w:rPr>
                <w:b/>
                <w:color w:val="FFFFFF"/>
                <w:sz w:val="18"/>
              </w:rPr>
              <w:t>Geography</w:t>
            </w:r>
          </w:p>
        </w:tc>
        <w:tc>
          <w:tcPr>
            <w:tcW w:type="dxa" w:w="2635"/>
            <w:shd w:val="clear" w:color="auto" w:fill="1F3A5F"/>
          </w:tcPr>
          <w:p>
            <w:r>
              <w:rPr>
                <w:b/>
                <w:color w:val="FFFFFF"/>
                <w:sz w:val="18"/>
              </w:rPr>
              <w:t>EVs on road (verified)</w:t>
            </w:r>
          </w:p>
        </w:tc>
        <w:tc>
          <w:tcPr>
            <w:tcW w:type="dxa" w:w="2635"/>
            <w:shd w:val="clear" w:color="auto" w:fill="1F3A5F"/>
          </w:tcPr>
          <w:p>
            <w:r>
              <w:rPr>
                <w:b/>
                <w:color w:val="FFFFFF"/>
                <w:sz w:val="18"/>
              </w:rPr>
              <w:t>Estimated total registered fleet</w:t>
            </w:r>
          </w:p>
        </w:tc>
        <w:tc>
          <w:tcPr>
            <w:tcW w:type="dxa" w:w="2635"/>
            <w:shd w:val="clear" w:color="auto" w:fill="1F3A5F"/>
          </w:tcPr>
          <w:p>
            <w:r>
              <w:rPr>
                <w:b/>
                <w:color w:val="FFFFFF"/>
                <w:sz w:val="18"/>
              </w:rPr>
              <w:t>EV penetration (ESTIMATE)</w:t>
            </w:r>
          </w:p>
        </w:tc>
      </w:tr>
      <w:tr>
        <w:tc>
          <w:tcPr>
            <w:tcW w:type="dxa" w:w="2635"/>
          </w:tcPr>
          <w:p>
            <w:r>
              <w:rPr>
                <w:sz w:val="18"/>
              </w:rPr>
              <w:t>WA state</w:t>
            </w:r>
          </w:p>
        </w:tc>
        <w:tc>
          <w:tcPr>
            <w:tcW w:type="dxa" w:w="2635"/>
          </w:tcPr>
          <w:p>
            <w:r>
              <w:rPr>
                <w:sz w:val="18"/>
              </w:rPr>
              <w:t>288,838</w:t>
            </w:r>
          </w:p>
        </w:tc>
        <w:tc>
          <w:tcPr>
            <w:tcW w:type="dxa" w:w="2635"/>
          </w:tcPr>
          <w:p>
            <w:r>
              <w:rPr>
                <w:sz w:val="18"/>
              </w:rPr>
              <w:t>~6,840,000 (AFDC 2025 light-duty)</w:t>
            </w:r>
          </w:p>
        </w:tc>
        <w:tc>
          <w:tcPr>
            <w:tcW w:type="dxa" w:w="2635"/>
          </w:tcPr>
          <w:p>
            <w:r>
              <w:rPr>
                <w:sz w:val="18"/>
              </w:rPr>
              <w:t>~4.22%</w:t>
            </w:r>
          </w:p>
        </w:tc>
      </w:tr>
      <w:tr>
        <w:tc>
          <w:tcPr>
            <w:tcW w:type="dxa" w:w="2635"/>
          </w:tcPr>
          <w:p>
            <w:r>
              <w:rPr>
                <w:b/>
                <w:sz w:val="18"/>
              </w:rPr>
              <w:t>Pierce (Tacoma)</w:t>
            </w:r>
          </w:p>
        </w:tc>
        <w:tc>
          <w:tcPr>
            <w:tcW w:type="dxa" w:w="2635"/>
          </w:tcPr>
          <w:p>
            <w:r>
              <w:rPr>
                <w:b/>
                <w:sz w:val="18"/>
              </w:rPr>
              <w:t>24,162</w:t>
            </w:r>
          </w:p>
        </w:tc>
        <w:tc>
          <w:tcPr>
            <w:tcW w:type="dxa" w:w="2635"/>
          </w:tcPr>
          <w:p>
            <w:r>
              <w:rPr>
                <w:b/>
                <w:sz w:val="18"/>
              </w:rPr>
              <w:t>~934,564 (population-allocated)</w:t>
            </w:r>
          </w:p>
        </w:tc>
        <w:tc>
          <w:tcPr>
            <w:tcW w:type="dxa" w:w="2635"/>
          </w:tcPr>
          <w:p>
            <w:r>
              <w:rPr>
                <w:b/>
                <w:sz w:val="18"/>
              </w:rPr>
              <w:t>2.59%</w:t>
            </w:r>
          </w:p>
        </w:tc>
      </w:tr>
      <w:tr>
        <w:tc>
          <w:tcPr>
            <w:tcW w:type="dxa" w:w="2635"/>
          </w:tcPr>
          <w:p>
            <w:r>
              <w:rPr>
                <w:b/>
                <w:sz w:val="18"/>
              </w:rPr>
              <w:t>Spokane</w:t>
            </w:r>
          </w:p>
        </w:tc>
        <w:tc>
          <w:tcPr>
            <w:tcW w:type="dxa" w:w="2635"/>
          </w:tcPr>
          <w:p>
            <w:r>
              <w:rPr>
                <w:b/>
                <w:sz w:val="18"/>
              </w:rPr>
              <w:t>8,329</w:t>
            </w:r>
          </w:p>
        </w:tc>
        <w:tc>
          <w:tcPr>
            <w:tcW w:type="dxa" w:w="2635"/>
          </w:tcPr>
          <w:p>
            <w:r>
              <w:rPr>
                <w:b/>
                <w:sz w:val="18"/>
              </w:rPr>
              <w:t>~556,087 (population-allocated)</w:t>
            </w:r>
          </w:p>
        </w:tc>
        <w:tc>
          <w:tcPr>
            <w:tcW w:type="dxa" w:w="2635"/>
          </w:tcPr>
          <w:p>
            <w:r>
              <w:rPr>
                <w:b/>
                <w:sz w:val="18"/>
              </w:rPr>
              <w:t>1.50%</w:t>
            </w:r>
          </w:p>
        </w:tc>
      </w:tr>
      <w:tr>
        <w:tc>
          <w:tcPr>
            <w:tcW w:type="dxa" w:w="2635"/>
            <w:shd w:val="clear" w:color="auto" w:fill="F0F0F0"/>
          </w:tcPr>
          <w:p>
            <w:r>
              <w:rPr>
                <w:sz w:val="18"/>
              </w:rPr>
              <w:t>Pierce absolute ratio (vs Spokane)</w:t>
            </w:r>
          </w:p>
        </w:tc>
        <w:tc>
          <w:tcPr>
            <w:tcW w:type="dxa" w:w="2635"/>
            <w:shd w:val="clear" w:color="auto" w:fill="F0F0F0"/>
          </w:tcPr>
          <w:p>
            <w:r>
              <w:rPr>
                <w:sz w:val="18"/>
              </w:rPr>
              <w:t>2.90x</w:t>
            </w:r>
          </w:p>
        </w:tc>
        <w:tc>
          <w:tcPr>
            <w:tcW w:type="dxa" w:w="2635"/>
            <w:shd w:val="clear" w:color="auto" w:fill="F0F0F0"/>
          </w:tcPr>
          <w:p>
            <w:r>
              <w:rPr>
                <w:sz w:val="18"/>
              </w:rPr>
            </w:r>
          </w:p>
        </w:tc>
        <w:tc>
          <w:tcPr>
            <w:tcW w:type="dxa" w:w="2635"/>
            <w:shd w:val="clear" w:color="auto" w:fill="F0F0F0"/>
          </w:tcPr>
          <w:p>
            <w:r>
              <w:rPr>
                <w:sz w:val="18"/>
              </w:rPr>
            </w:r>
          </w:p>
        </w:tc>
      </w:tr>
    </w:tbl>
    <w:p>
      <w:pPr>
        <w:spacing w:after="160"/>
      </w:pPr>
      <w:r>
        <w:rPr>
          <w:b w:val="0"/>
          <w:color w:val="555555"/>
          <w:sz w:val="18"/>
        </w:rPr>
        <w:t>Source: WA DOL EV registration roster, ev_v2.db, table ev, restricted to state='WA' and county IN ('Pierce','Spokane'). Penetration figures are estimates based on population-allocated total-vehicle denominators (WTSC Oct 2025 statewide total distributed by WA OFM county-share weights); DOL has not published county passenger-vehicle totals. Earlier-draft figures of 4.36% and 2.51% are retracted and not used. Pierce is 2.90x as electrified by absolute count and 1.73x by share. This ranking is demand-side only. It does not measure revenue at risk. It can change after shop P&amp;L and RO powertrain mix are reviewed.</w:t>
      </w:r>
    </w:p>
    <w:p>
      <w:pPr>
        <w:spacing w:before="160" w:after="80"/>
      </w:pPr>
      <w:r>
        <w:rPr>
          <w:b/>
          <w:color w:val="1F3A5F"/>
          <w:sz w:val="28"/>
        </w:rPr>
        <w:t>WHEN DOES IT HURT?</w:t>
      </w:r>
    </w:p>
    <w:p>
      <w:pPr>
        <w:spacing w:after="40"/>
      </w:pPr>
      <w:r>
        <w:rPr>
          <w:b w:val="0"/>
          <w:sz w:val="20"/>
        </w:rPr>
        <w:t>Through 2029: small drag, 5-10%. Offset by ICE fleet aging into higher-spend.</w:t>
      </w:r>
    </w:p>
    <w:p>
      <w:pPr>
        <w:spacing w:after="40"/>
      </w:pPr>
      <w:r>
        <w:rPr>
          <w:b w:val="0"/>
          <w:sz w:val="20"/>
        </w:rPr>
        <w:t>2030-2032: material drag, 15-25%.</w:t>
      </w:r>
    </w:p>
    <w:p>
      <w:pPr>
        <w:spacing w:after="40"/>
      </w:pPr>
      <w:r>
        <w:rPr>
          <w:b w:val="0"/>
          <w:sz w:val="20"/>
        </w:rPr>
        <w:t>2033-2038: structural, 30-50% for ICE-only shops.</w:t>
      </w:r>
    </w:p>
    <w:p>
      <w:pPr>
        <w:spacing w:after="40"/>
      </w:pPr>
      <w:r>
        <w:rPr>
          <w:b w:val="0"/>
          <w:sz w:val="20"/>
        </w:rPr>
        <w:t>The clock on ICE fleet volume is 5-6% net reduction per year (4.6% scrappage + 1-2% electrification).</w:t>
      </w:r>
    </w:p>
    <w:p>
      <w:pPr>
        <w:spacing w:after="40"/>
      </w:pPr>
      <w:r>
        <w:rPr>
          <w:b w:val="0"/>
          <w:sz w:val="20"/>
        </w:rPr>
        <w:t>Cohort softening 2024-2026 (Pierce +4,740 in MY2023 to +2,475 in MY2026 partial; Spokane +1,507 to +825) is consistent with national patterns. The doomsday case is not accelerating; the gradual-erosion view is the data-supported one.</w:t>
      </w:r>
    </w:p>
    <w:p>
      <w:pPr>
        <w:spacing w:before="160" w:after="80"/>
      </w:pPr>
      <w:r>
        <w:rPr>
          <w:b/>
          <w:color w:val="1F3A5F"/>
          <w:sz w:val="28"/>
        </w:rPr>
        <w:t>FOUR UNDERLYING DRIVERS</w:t>
      </w:r>
    </w:p>
    <w:p>
      <w:pPr>
        <w:spacing w:after="40"/>
      </w:pPr>
      <w:r>
        <w:rPr>
          <w:b w:val="0"/>
          <w:sz w:val="20"/>
        </w:rPr>
        <w:t>Battery durability: Recurrent Nov 2025 - under 4% replacement across all EVs ever sold; 0.3% for 2022+. EVs last 17+ years, longer than ICE did.</w:t>
      </w:r>
    </w:p>
    <w:p>
      <w:pPr>
        <w:spacing w:after="40"/>
      </w:pPr>
      <w:r>
        <w:rPr>
          <w:b w:val="0"/>
          <w:sz w:val="20"/>
        </w:rPr>
        <w:t>Fleet turnover: US fleet now 12.6 years old on average (S&amp;P Global, May 2024). 4.6% annual scrappage. Older ICE = more work today, less work later.</w:t>
      </w:r>
    </w:p>
    <w:p>
      <w:pPr>
        <w:spacing w:after="40"/>
      </w:pPr>
      <w:r>
        <w:rPr>
          <w:b w:val="0"/>
          <w:sz w:val="20"/>
        </w:rPr>
        <w:t>Used-EV supply: 3-year-old Teslas, Mach-Es, Bolts are flooding the market. Independent shops can capture tire/suspension/ADAS work but lose oil-change and exhaust revenue.</w:t>
      </w:r>
    </w:p>
    <w:p>
      <w:pPr>
        <w:spacing w:after="40"/>
      </w:pPr>
      <w:r>
        <w:rPr>
          <w:b w:val="0"/>
          <w:sz w:val="20"/>
        </w:rPr>
        <w:t>Charging: Pierce is dense along I-5; Spokane lags. As I-90 fast-charging fills in, expect Spokane's growth rate to converge upward.</w:t>
      </w:r>
    </w:p>
    <w:p>
      <w:pPr>
        <w:spacing w:before="160" w:after="80"/>
      </w:pPr>
      <w:r>
        <w:rPr>
          <w:b/>
          <w:color w:val="1F3A5F"/>
          <w:sz w:val="28"/>
        </w:rPr>
        <w:t>THE $150,000 ACTION PLAN (EXACT)</w:t>
      </w:r>
    </w:p>
    <w:p>
      <w:pPr>
        <w:spacing w:after="80"/>
      </w:pPr>
      <w:r>
        <w:rPr>
          <w:b/>
          <w:sz w:val="20"/>
        </w:rPr>
        <w:t>Data gate (release $100,000; retain $50,000 reserve). Do not deploy any of the $150k until the data gate passes.</w:t>
      </w:r>
    </w:p>
    <w:p>
      <w:pPr>
        <w:spacing w:after="40"/>
      </w:pPr>
      <w:r>
        <w:rPr>
          <w:b/>
          <w:sz w:val="20"/>
        </w:rPr>
        <w:t>Data gate requirements (must all be true before releasing any cash):</w:t>
      </w:r>
    </w:p>
    <w:p>
      <w:pPr>
        <w:spacing w:after="40"/>
      </w:pPr>
      <w:r>
        <w:rPr>
          <w:b w:val="0"/>
          <w:sz w:val="20"/>
        </w:rPr>
        <w:t>Shop-level P&amp;L and RO powertrain mix (ICE / hybrid / BEV) for both shops, last 12-24 months, with vehicle type recorded on the RO.</w:t>
      </w:r>
    </w:p>
    <w:p>
      <w:pPr>
        <w:spacing w:after="40"/>
      </w:pPr>
      <w:r>
        <w:rPr>
          <w:b w:val="0"/>
          <w:sz w:val="20"/>
        </w:rPr>
        <w:t>A confirmed definition of "reposition" -- what services, equipment, or format the spend buys.</w:t>
      </w:r>
    </w:p>
    <w:p>
      <w:pPr>
        <w:spacing w:after="40"/>
      </w:pPr>
      <w:r>
        <w:rPr>
          <w:b w:val="0"/>
          <w:sz w:val="20"/>
        </w:rPr>
        <w:t>Quote-grade vendor schedule for the capability package, not a ballpark.</w:t>
      </w:r>
    </w:p>
    <w:p>
      <w:pPr>
        <w:spacing w:after="80"/>
      </w:pPr>
      <w:r>
        <w:rPr>
          <w:b/>
          <w:sz w:val="20"/>
        </w:rPr>
        <w:t>Initial allocation of the $100,000 (PROVISIONAL; reprice after data gate).</w:t>
      </w:r>
    </w:p>
    <w:tbl>
      <w:tblPr>
        <w:tblStyle w:val="LightGrid-Accent1"/>
        <w:tblW w:type="auto" w:w="0"/>
        <w:tblLook w:firstColumn="1" w:firstRow="1" w:lastColumn="0" w:lastRow="0" w:noHBand="0" w:noVBand="1" w:val="04A0"/>
      </w:tblPr>
      <w:tblGrid>
        <w:gridCol w:w="2635"/>
        <w:gridCol w:w="2635"/>
        <w:gridCol w:w="2635"/>
        <w:gridCol w:w="2635"/>
      </w:tblGrid>
      <w:tr>
        <w:trPr>
          <w:tblHeader w:val="true"/>
        </w:trPr>
        <w:tc>
          <w:tcPr>
            <w:tcW w:type="dxa" w:w="2635"/>
            <w:shd w:val="clear" w:color="auto" w:fill="1F3A5F"/>
          </w:tcPr>
          <w:p>
            <w:r>
              <w:rPr>
                <w:b/>
                <w:color w:val="FFFFFF"/>
                <w:sz w:val="18"/>
              </w:rPr>
              <w:t>Allocation</w:t>
            </w:r>
          </w:p>
        </w:tc>
        <w:tc>
          <w:tcPr>
            <w:tcW w:type="dxa" w:w="2635"/>
            <w:shd w:val="clear" w:color="auto" w:fill="1F3A5F"/>
          </w:tcPr>
          <w:p>
            <w:r>
              <w:rPr>
                <w:b/>
                <w:color w:val="FFFFFF"/>
                <w:sz w:val="18"/>
              </w:rPr>
              <w:t>Amount</w:t>
            </w:r>
          </w:p>
        </w:tc>
        <w:tc>
          <w:tcPr>
            <w:tcW w:type="dxa" w:w="2635"/>
            <w:shd w:val="clear" w:color="auto" w:fill="1F3A5F"/>
          </w:tcPr>
          <w:p>
            <w:r>
              <w:rPr>
                <w:b/>
                <w:color w:val="FFFFFF"/>
                <w:sz w:val="18"/>
              </w:rPr>
              <w:t>Anchor</w:t>
            </w:r>
          </w:p>
        </w:tc>
        <w:tc>
          <w:tcPr>
            <w:tcW w:type="dxa" w:w="2635"/>
            <w:shd w:val="clear" w:color="auto" w:fill="1F3A5F"/>
          </w:tcPr>
          <w:p>
            <w:r>
              <w:rPr>
                <w:b/>
                <w:color w:val="FFFFFF"/>
                <w:sz w:val="18"/>
              </w:rPr>
              <w:t>Notes</w:t>
            </w:r>
          </w:p>
        </w:tc>
      </w:tr>
      <w:tr>
        <w:tc>
          <w:tcPr>
            <w:tcW w:type="dxa" w:w="2635"/>
          </w:tcPr>
          <w:p>
            <w:r>
              <w:rPr>
                <w:sz w:val="18"/>
              </w:rPr>
              <w:t>Spokane ADAS / alignment / diagnostics</w:t>
            </w:r>
          </w:p>
        </w:tc>
        <w:tc>
          <w:tcPr>
            <w:tcW w:type="dxa" w:w="2635"/>
          </w:tcPr>
          <w:p>
            <w:r>
              <w:rPr>
                <w:sz w:val="18"/>
              </w:rPr>
              <w:t>$55,000</w:t>
            </w:r>
          </w:p>
        </w:tc>
        <w:tc>
          <w:tcPr>
            <w:tcW w:type="dxa" w:w="2635"/>
          </w:tcPr>
          <w:p>
            <w:r>
              <w:rPr>
                <w:sz w:val="18"/>
              </w:rPr>
              <w:t>Spokane (provisional anchor)</w:t>
            </w:r>
          </w:p>
        </w:tc>
        <w:tc>
          <w:tcPr>
            <w:tcW w:type="dxa" w:w="2635"/>
          </w:tcPr>
          <w:p>
            <w:r>
              <w:rPr>
                <w:sz w:val="18"/>
              </w:rPr>
              <w:t>Highest near-term ROI for an ICE-heavy shop in a lower-EV-share county. Resilience spend.</w:t>
            </w:r>
          </w:p>
        </w:tc>
      </w:tr>
      <w:tr>
        <w:tc>
          <w:tcPr>
            <w:tcW w:type="dxa" w:w="2635"/>
          </w:tcPr>
          <w:p>
            <w:r>
              <w:rPr>
                <w:sz w:val="18"/>
              </w:rPr>
              <w:t>Tacoma xEV training / tooling / charging</w:t>
            </w:r>
          </w:p>
        </w:tc>
        <w:tc>
          <w:tcPr>
            <w:tcW w:type="dxa" w:w="2635"/>
          </w:tcPr>
          <w:p>
            <w:r>
              <w:rPr>
                <w:sz w:val="18"/>
              </w:rPr>
              <w:t>$25,000</w:t>
            </w:r>
          </w:p>
        </w:tc>
        <w:tc>
          <w:tcPr>
            <w:tcW w:type="dxa" w:w="2635"/>
          </w:tcPr>
          <w:p>
            <w:r>
              <w:rPr>
                <w:sz w:val="18"/>
              </w:rPr>
              <w:t>Tacoma (provisional anchor)</w:t>
            </w:r>
          </w:p>
        </w:tc>
        <w:tc>
          <w:tcPr>
            <w:tcW w:type="dxa" w:w="2635"/>
          </w:tcPr>
          <w:p>
            <w:r>
              <w:rPr>
                <w:sz w:val="18"/>
              </w:rPr>
              <w:t>Capability spend, not full pivot. Captures out-of-warranty EV service as the 2021-2023 cohort ages into shop territory 2029-2031.</w:t>
            </w:r>
          </w:p>
        </w:tc>
      </w:tr>
      <w:tr>
        <w:tc>
          <w:tcPr>
            <w:tcW w:type="dxa" w:w="2635"/>
          </w:tcPr>
          <w:p>
            <w:r>
              <w:rPr>
                <w:sz w:val="18"/>
              </w:rPr>
              <w:t>Rollout / data / installation</w:t>
            </w:r>
          </w:p>
        </w:tc>
        <w:tc>
          <w:tcPr>
            <w:tcW w:type="dxa" w:w="2635"/>
          </w:tcPr>
          <w:p>
            <w:r>
              <w:rPr>
                <w:sz w:val="18"/>
              </w:rPr>
              <w:t>$20,000</w:t>
            </w:r>
          </w:p>
        </w:tc>
        <w:tc>
          <w:tcPr>
            <w:tcW w:type="dxa" w:w="2635"/>
          </w:tcPr>
          <w:p>
            <w:r>
              <w:rPr>
                <w:sz w:val="18"/>
              </w:rPr>
              <w:t>Both</w:t>
            </w:r>
          </w:p>
        </w:tc>
        <w:tc>
          <w:tcPr>
            <w:tcW w:type="dxa" w:w="2635"/>
          </w:tcPr>
          <w:p>
            <w:r>
              <w:rPr>
                <w:sz w:val="18"/>
              </w:rPr>
              <w:t>Vendor commissioning, signage, technician scheduling, RO powertrain mix tracking.</w:t>
            </w:r>
          </w:p>
        </w:tc>
      </w:tr>
      <w:tr>
        <w:tc>
          <w:tcPr>
            <w:tcW w:type="dxa" w:w="2635"/>
            <w:shd w:val="clear" w:color="auto" w:fill="E8F0E8"/>
          </w:tcPr>
          <w:p>
            <w:r>
              <w:rPr>
                <w:b/>
                <w:sz w:val="18"/>
              </w:rPr>
              <w:t>Total released</w:t>
            </w:r>
          </w:p>
        </w:tc>
        <w:tc>
          <w:tcPr>
            <w:tcW w:type="dxa" w:w="2635"/>
            <w:shd w:val="clear" w:color="auto" w:fill="E8F0E8"/>
          </w:tcPr>
          <w:p>
            <w:r>
              <w:rPr>
                <w:b/>
                <w:sz w:val="18"/>
              </w:rPr>
              <w:t>$100,000</w:t>
            </w:r>
          </w:p>
        </w:tc>
        <w:tc>
          <w:tcPr>
            <w:tcW w:type="dxa" w:w="2635"/>
            <w:shd w:val="clear" w:color="auto" w:fill="E8F0E8"/>
          </w:tcPr>
          <w:p>
            <w:r>
              <w:rPr>
                <w:b/>
                <w:sz w:val="18"/>
              </w:rPr>
            </w:r>
          </w:p>
        </w:tc>
        <w:tc>
          <w:tcPr>
            <w:tcW w:type="dxa" w:w="2635"/>
            <w:shd w:val="clear" w:color="auto" w:fill="E8F0E8"/>
          </w:tcPr>
          <w:p>
            <w:r>
              <w:rPr>
                <w:b/>
                <w:sz w:val="18"/>
              </w:rPr>
            </w:r>
          </w:p>
        </w:tc>
      </w:tr>
      <w:tr>
        <w:tc>
          <w:tcPr>
            <w:tcW w:type="dxa" w:w="2635"/>
            <w:shd w:val="clear" w:color="auto" w:fill="FFF8E8"/>
          </w:tcPr>
          <w:p>
            <w:r>
              <w:rPr>
                <w:b/>
                <w:sz w:val="18"/>
              </w:rPr>
              <w:t>Reserve (held)</w:t>
            </w:r>
          </w:p>
        </w:tc>
        <w:tc>
          <w:tcPr>
            <w:tcW w:type="dxa" w:w="2635"/>
            <w:shd w:val="clear" w:color="auto" w:fill="FFF8E8"/>
          </w:tcPr>
          <w:p>
            <w:r>
              <w:rPr>
                <w:b/>
                <w:sz w:val="18"/>
              </w:rPr>
              <w:t>$50,000</w:t>
            </w:r>
          </w:p>
        </w:tc>
        <w:tc>
          <w:tcPr>
            <w:tcW w:type="dxa" w:w="2635"/>
            <w:shd w:val="clear" w:color="auto" w:fill="FFF8E8"/>
          </w:tcPr>
          <w:p>
            <w:r>
              <w:rPr>
                <w:b/>
                <w:sz w:val="18"/>
              </w:rPr>
            </w:r>
          </w:p>
        </w:tc>
        <w:tc>
          <w:tcPr>
            <w:tcW w:type="dxa" w:w="2635"/>
            <w:shd w:val="clear" w:color="auto" w:fill="FFF8E8"/>
          </w:tcPr>
          <w:p>
            <w:r>
              <w:rPr>
                <w:b/>
                <w:sz w:val="18"/>
              </w:rPr>
              <w:t>Not deployed; reviewed at Day 60 and Day 90.</w:t>
            </w:r>
          </w:p>
        </w:tc>
      </w:tr>
    </w:tbl>
    <w:p>
      <w:pPr>
        <w:spacing w:after="160"/>
      </w:pPr>
      <w:r>
        <w:rPr>
          <w:b w:val="0"/>
          <w:color w:val="555555"/>
          <w:sz w:val="18"/>
        </w:rPr>
        <w:t>This allocation is provisional. It must be repriced and confirmed after shop-level P&amp;L and RO powertrain mix are reviewed. The reserve is held so the second-half of the spend can be redirected once real numbers arrive. Do not invent actual P&amp;L numbers here.</w:t>
      </w:r>
    </w:p>
    <w:p>
      <w:pPr>
        <w:spacing w:before="160" w:after="80"/>
      </w:pPr>
      <w:r>
        <w:rPr>
          <w:b/>
          <w:color w:val="1F3A5F"/>
          <w:sz w:val="28"/>
        </w:rPr>
        <w:t>30 / 60 / 90-DAY ACTIONS</w:t>
      </w:r>
    </w:p>
    <w:tbl>
      <w:tblPr>
        <w:tblStyle w:val="LightGrid-Accent1"/>
        <w:tblW w:type="auto" w:w="0"/>
        <w:tblLook w:firstColumn="1" w:firstRow="1" w:lastColumn="0" w:lastRow="0" w:noHBand="0" w:noVBand="1" w:val="04A0"/>
      </w:tblPr>
      <w:tblGrid>
        <w:gridCol w:w="2635"/>
        <w:gridCol w:w="2635"/>
        <w:gridCol w:w="2635"/>
        <w:gridCol w:w="2635"/>
      </w:tblGrid>
      <w:tr>
        <w:trPr>
          <w:tblHeader w:val="true"/>
        </w:trPr>
        <w:tc>
          <w:tcPr>
            <w:tcW w:type="dxa" w:w="2635"/>
            <w:shd w:val="clear" w:color="auto" w:fill="1F3A5F"/>
          </w:tcPr>
          <w:p>
            <w:r>
              <w:rPr>
                <w:b/>
                <w:color w:val="FFFFFF"/>
                <w:sz w:val="16"/>
              </w:rPr>
              <w:t>Window</w:t>
            </w:r>
          </w:p>
        </w:tc>
        <w:tc>
          <w:tcPr>
            <w:tcW w:type="dxa" w:w="2635"/>
            <w:shd w:val="clear" w:color="auto" w:fill="1F3A5F"/>
          </w:tcPr>
          <w:p>
            <w:r>
              <w:rPr>
                <w:b/>
                <w:color w:val="FFFFFF"/>
                <w:sz w:val="16"/>
              </w:rPr>
              <w:t>Owner tasks</w:t>
            </w:r>
          </w:p>
        </w:tc>
        <w:tc>
          <w:tcPr>
            <w:tcW w:type="dxa" w:w="2635"/>
            <w:shd w:val="clear" w:color="auto" w:fill="1F3A5F"/>
          </w:tcPr>
          <w:p>
            <w:r>
              <w:rPr>
                <w:b/>
                <w:color w:val="FFFFFF"/>
                <w:sz w:val="16"/>
              </w:rPr>
              <w:t>Dollar gate</w:t>
            </w:r>
          </w:p>
        </w:tc>
        <w:tc>
          <w:tcPr>
            <w:tcW w:type="dxa" w:w="2635"/>
            <w:shd w:val="clear" w:color="auto" w:fill="1F3A5F"/>
          </w:tcPr>
          <w:p>
            <w:r>
              <w:rPr>
                <w:b/>
                <w:color w:val="FFFFFF"/>
                <w:sz w:val="16"/>
              </w:rPr>
              <w:t>KPI</w:t>
            </w:r>
          </w:p>
        </w:tc>
      </w:tr>
      <w:tr>
        <w:tc>
          <w:tcPr>
            <w:tcW w:type="dxa" w:w="2635"/>
          </w:tcPr>
          <w:p>
            <w:r>
              <w:rPr>
                <w:sz w:val="16"/>
              </w:rPr>
              <w:t>Days 0-30</w:t>
            </w:r>
          </w:p>
        </w:tc>
        <w:tc>
          <w:tcPr>
            <w:tcW w:type="dxa" w:w="2635"/>
          </w:tcPr>
          <w:p>
            <w:r>
              <w:rPr>
                <w:sz w:val="16"/>
              </w:rPr>
              <w:t>Pull shop P&amp;L and RO powertrain mix for both shops. Define "reposition" in one sentence. Get vendor quotes.</w:t>
            </w:r>
          </w:p>
        </w:tc>
        <w:tc>
          <w:tcPr>
            <w:tcW w:type="dxa" w:w="2635"/>
          </w:tcPr>
          <w:p>
            <w:r>
              <w:rPr>
                <w:sz w:val="16"/>
              </w:rPr>
              <w:t>Release any cash only after vendor quotes &lt;= $100,000; P&amp;L shows &gt;= $12,000/wk aggregate net ops cash (or spend reduced to match); RO powertrain mix on file for both shops.</w:t>
            </w:r>
          </w:p>
        </w:tc>
        <w:tc>
          <w:tcPr>
            <w:tcW w:type="dxa" w:w="2635"/>
          </w:tcPr>
          <w:p>
            <w:r>
              <w:rPr>
                <w:sz w:val="16"/>
              </w:rPr>
              <w:t>Data gate passed (yes/no).</w:t>
            </w:r>
          </w:p>
        </w:tc>
      </w:tr>
      <w:tr>
        <w:tc>
          <w:tcPr>
            <w:tcW w:type="dxa" w:w="2635"/>
          </w:tcPr>
          <w:p>
            <w:r>
              <w:rPr>
                <w:sz w:val="16"/>
              </w:rPr>
              <w:t>Days 31-60</w:t>
            </w:r>
          </w:p>
        </w:tc>
        <w:tc>
          <w:tcPr>
            <w:tcW w:type="dxa" w:w="2635"/>
          </w:tcPr>
          <w:p>
            <w:r>
              <w:rPr>
                <w:sz w:val="16"/>
              </w:rPr>
              <w:t>Release $30,000 (Day 31) and $70,000 (Day 45). Install ADAS / alignment / diagnostics at Spokane (provisional). Begin Tacoma xEV training enrollment. Stand up RO mix tracking at both shops. Review weekly vendor invoicing vs quotes; attend at least one Spokane installation milestone.</w:t>
            </w:r>
          </w:p>
        </w:tc>
        <w:tc>
          <w:tcPr>
            <w:tcW w:type="dxa" w:w="2635"/>
          </w:tcPr>
          <w:p>
            <w:r>
              <w:rPr>
                <w:sz w:val="16"/>
              </w:rPr>
              <w:t>Release $30k at Day 31 only if data gate passed; release $70k at Day 45 only if vendor invoices align.</w:t>
            </w:r>
          </w:p>
        </w:tc>
        <w:tc>
          <w:tcPr>
            <w:tcW w:type="dxa" w:w="2635"/>
          </w:tcPr>
          <w:p>
            <w:r>
              <w:rPr>
                <w:sz w:val="16"/>
              </w:rPr>
              <w:t>Incremental weekly contribution margin at Spokane vs $1.5k/$3k/$5k ramp; RO powertrain mix distribution.</w:t>
            </w:r>
          </w:p>
        </w:tc>
      </w:tr>
      <w:tr>
        <w:tc>
          <w:tcPr>
            <w:tcW w:type="dxa" w:w="2635"/>
          </w:tcPr>
          <w:p>
            <w:r>
              <w:rPr>
                <w:sz w:val="16"/>
              </w:rPr>
              <w:t>Days 61-90</w:t>
            </w:r>
          </w:p>
        </w:tc>
        <w:tc>
          <w:tcPr>
            <w:tcW w:type="dxa" w:w="2635"/>
          </w:tcPr>
          <w:p>
            <w:r>
              <w:rPr>
                <w:sz w:val="16"/>
              </w:rPr>
              <w:t>Compare actual ramp to MED placeholder. Re-rank EV exposure using real RO mix, not county-level EV share. Decide on $50k reserve: deploy, defer, or redirect.</w:t>
            </w:r>
          </w:p>
        </w:tc>
        <w:tc>
          <w:tcPr>
            <w:tcW w:type="dxa" w:w="2635"/>
          </w:tcPr>
          <w:p>
            <w:r>
              <w:rPr>
                <w:sz w:val="16"/>
              </w:rPr>
              <w:t>Release $50k reserve only if: verified incremental CM &gt;= $694/wk (1.5x debt service at 7.62% / $100k / 60 mo); contracted revenue (fleet, OEM, dealer sublet) underwrites the spend.</w:t>
            </w:r>
          </w:p>
        </w:tc>
        <w:tc>
          <w:tcPr>
            <w:tcW w:type="dxa" w:w="2635"/>
          </w:tcPr>
          <w:p>
            <w:r>
              <w:rPr>
                <w:sz w:val="16"/>
              </w:rPr>
              <w:t>Re-ranked exposure (Tacoma vs Spokane) using real RO mix.</w:t>
            </w:r>
          </w:p>
        </w:tc>
      </w:tr>
      <w:tr>
        <w:tc>
          <w:tcPr>
            <w:tcW w:type="dxa" w:w="2635"/>
          </w:tcPr>
          <w:p>
            <w:r>
              <w:rPr>
                <w:sz w:val="16"/>
              </w:rPr>
              <w:t>Days 91-365</w:t>
            </w:r>
          </w:p>
        </w:tc>
        <w:tc>
          <w:tcPr>
            <w:tcW w:type="dxa" w:w="2635"/>
          </w:tcPr>
          <w:p>
            <w:r>
              <w:rPr>
                <w:sz w:val="16"/>
              </w:rPr>
              <w:t>Annual re-measurement of county-level EV penetration; re-rank if Pierce crosses 4% EV share.</w:t>
            </w:r>
          </w:p>
        </w:tc>
        <w:tc>
          <w:tcPr>
            <w:tcW w:type="dxa" w:w="2635"/>
          </w:tcPr>
          <w:p>
            <w:r>
              <w:rPr>
                <w:sz w:val="16"/>
              </w:rPr>
              <w:t>Re-rank trigger only.</w:t>
            </w:r>
          </w:p>
        </w:tc>
        <w:tc>
          <w:tcPr>
            <w:tcW w:type="dxa" w:w="2635"/>
          </w:tcPr>
          <w:p>
            <w:r>
              <w:rPr>
                <w:sz w:val="16"/>
              </w:rPr>
              <w:t>County-level EV penetration vs prior year.</w:t>
            </w:r>
          </w:p>
        </w:tc>
      </w:tr>
    </w:tbl>
    <w:p>
      <w:pPr>
        <w:spacing w:before="160" w:after="80"/>
      </w:pPr>
      <w:r>
        <w:rPr>
          <w:b/>
          <w:color w:val="1F3A5F"/>
          <w:sz w:val="28"/>
        </w:rPr>
        <w:t>TRIGGER CALENDAR THROUGH 2030</w:t>
      </w:r>
    </w:p>
    <w:tbl>
      <w:tblPr>
        <w:tblStyle w:val="LightGrid-Accent1"/>
        <w:tblW w:type="auto" w:w="0"/>
        <w:tblLook w:firstColumn="1" w:firstRow="1" w:lastColumn="0" w:lastRow="0" w:noHBand="0" w:noVBand="1" w:val="04A0"/>
      </w:tblPr>
      <w:tblGrid>
        <w:gridCol w:w="3513"/>
        <w:gridCol w:w="3513"/>
        <w:gridCol w:w="3513"/>
      </w:tblGrid>
      <w:tr>
        <w:trPr>
          <w:tblHeader w:val="true"/>
        </w:trPr>
        <w:tc>
          <w:tcPr>
            <w:tcW w:type="dxa" w:w="3513"/>
            <w:shd w:val="clear" w:color="auto" w:fill="1F3A5F"/>
          </w:tcPr>
          <w:p>
            <w:r>
              <w:rPr>
                <w:b/>
                <w:color w:val="FFFFFF"/>
                <w:sz w:val="18"/>
              </w:rPr>
              <w:t>Date</w:t>
            </w:r>
          </w:p>
        </w:tc>
        <w:tc>
          <w:tcPr>
            <w:tcW w:type="dxa" w:w="3513"/>
            <w:shd w:val="clear" w:color="auto" w:fill="1F3A5F"/>
          </w:tcPr>
          <w:p>
            <w:r>
              <w:rPr>
                <w:b/>
                <w:color w:val="FFFFFF"/>
                <w:sz w:val="18"/>
              </w:rPr>
              <w:t>Trigger</w:t>
            </w:r>
          </w:p>
        </w:tc>
        <w:tc>
          <w:tcPr>
            <w:tcW w:type="dxa" w:w="3513"/>
            <w:shd w:val="clear" w:color="auto" w:fill="1F3A5F"/>
          </w:tcPr>
          <w:p>
            <w:r>
              <w:rPr>
                <w:b/>
                <w:color w:val="FFFFFF"/>
                <w:sz w:val="18"/>
              </w:rPr>
              <w:t>Action</w:t>
            </w:r>
          </w:p>
        </w:tc>
      </w:tr>
      <w:tr>
        <w:tc>
          <w:tcPr>
            <w:tcW w:type="dxa" w:w="3513"/>
          </w:tcPr>
          <w:p>
            <w:r>
              <w:rPr>
                <w:sz w:val="18"/>
              </w:rPr>
              <w:t>2026-09-08</w:t>
            </w:r>
          </w:p>
        </w:tc>
        <w:tc>
          <w:tcPr>
            <w:tcW w:type="dxa" w:w="3513"/>
          </w:tcPr>
          <w:p>
            <w:r>
              <w:rPr>
                <w:sz w:val="18"/>
              </w:rPr>
              <w:t>Next G.19 release of TERMCBAUTO48NS (Aug 2026 reading)</w:t>
            </w:r>
          </w:p>
        </w:tc>
        <w:tc>
          <w:tcPr>
            <w:tcW w:type="dxa" w:w="3513"/>
          </w:tcPr>
          <w:p>
            <w:r>
              <w:rPr>
                <w:sz w:val="18"/>
              </w:rPr>
              <w:t>Refresh the May 2026 7.47% anchor.</w:t>
            </w:r>
          </w:p>
        </w:tc>
      </w:tr>
      <w:tr>
        <w:tc>
          <w:tcPr>
            <w:tcW w:type="dxa" w:w="3513"/>
          </w:tcPr>
          <w:p>
            <w:r>
              <w:rPr>
                <w:sz w:val="18"/>
              </w:rPr>
              <w:t>2026-09-16</w:t>
            </w:r>
          </w:p>
        </w:tc>
        <w:tc>
          <w:tcPr>
            <w:tcW w:type="dxa" w:w="3513"/>
          </w:tcPr>
          <w:p>
            <w:r>
              <w:rPr>
                <w:sz w:val="18"/>
              </w:rPr>
              <w:t>Data gate decision (Day 30)</w:t>
            </w:r>
          </w:p>
        </w:tc>
        <w:tc>
          <w:tcPr>
            <w:tcW w:type="dxa" w:w="3513"/>
          </w:tcPr>
          <w:p>
            <w:r>
              <w:rPr>
                <w:sz w:val="18"/>
              </w:rPr>
              <w:t>Pass / fail.</w:t>
            </w:r>
          </w:p>
        </w:tc>
      </w:tr>
      <w:tr>
        <w:tc>
          <w:tcPr>
            <w:tcW w:type="dxa" w:w="3513"/>
          </w:tcPr>
          <w:p>
            <w:r>
              <w:rPr>
                <w:sz w:val="18"/>
              </w:rPr>
              <w:t>2026-10-01</w:t>
            </w:r>
          </w:p>
        </w:tc>
        <w:tc>
          <w:tcPr>
            <w:tcW w:type="dxa" w:w="3513"/>
          </w:tcPr>
          <w:p>
            <w:r>
              <w:rPr>
                <w:sz w:val="18"/>
              </w:rPr>
              <w:t>Day 45 vendor invoice review</w:t>
            </w:r>
          </w:p>
        </w:tc>
        <w:tc>
          <w:tcPr>
            <w:tcW w:type="dxa" w:w="3513"/>
          </w:tcPr>
          <w:p>
            <w:r>
              <w:rPr>
                <w:sz w:val="18"/>
              </w:rPr>
              <w:t>Release second tranche or hold.</w:t>
            </w:r>
          </w:p>
        </w:tc>
      </w:tr>
      <w:tr>
        <w:tc>
          <w:tcPr>
            <w:tcW w:type="dxa" w:w="3513"/>
          </w:tcPr>
          <w:p>
            <w:r>
              <w:rPr>
                <w:sz w:val="18"/>
              </w:rPr>
              <w:t>2026-11-15</w:t>
            </w:r>
          </w:p>
        </w:tc>
        <w:tc>
          <w:tcPr>
            <w:tcW w:type="dxa" w:w="3513"/>
          </w:tcPr>
          <w:p>
            <w:r>
              <w:rPr>
                <w:sz w:val="18"/>
              </w:rPr>
              <w:t>Day 90 ramp measurement</w:t>
            </w:r>
          </w:p>
        </w:tc>
        <w:tc>
          <w:tcPr>
            <w:tcW w:type="dxa" w:w="3513"/>
          </w:tcPr>
          <w:p>
            <w:r>
              <w:rPr>
                <w:sz w:val="18"/>
              </w:rPr>
              <w:t>Decide on $50k reserve; re-rank.</w:t>
            </w:r>
          </w:p>
        </w:tc>
      </w:tr>
      <w:tr>
        <w:tc>
          <w:tcPr>
            <w:tcW w:type="dxa" w:w="3513"/>
          </w:tcPr>
          <w:p>
            <w:r>
              <w:rPr>
                <w:sz w:val="18"/>
              </w:rPr>
              <w:t>2027-08-17</w:t>
            </w:r>
          </w:p>
        </w:tc>
        <w:tc>
          <w:tcPr>
            <w:tcW w:type="dxa" w:w="3513"/>
          </w:tcPr>
          <w:p>
            <w:r>
              <w:rPr>
                <w:sz w:val="18"/>
              </w:rPr>
              <w:t>Day 365 annual re-measurement</w:t>
            </w:r>
          </w:p>
        </w:tc>
        <w:tc>
          <w:tcPr>
            <w:tcW w:type="dxa" w:w="3513"/>
          </w:tcPr>
          <w:p>
            <w:r>
              <w:rPr>
                <w:sz w:val="18"/>
              </w:rPr>
              <w:t>Refresh county-level EV share; re-rank if Pierce &gt; 4%.</w:t>
            </w:r>
          </w:p>
        </w:tc>
      </w:tr>
      <w:tr>
        <w:tc>
          <w:tcPr>
            <w:tcW w:type="dxa" w:w="3513"/>
          </w:tcPr>
          <w:p>
            <w:r>
              <w:rPr>
                <w:sz w:val="18"/>
              </w:rPr>
              <w:t>2028-08-17</w:t>
            </w:r>
          </w:p>
        </w:tc>
        <w:tc>
          <w:tcPr>
            <w:tcW w:type="dxa" w:w="3513"/>
          </w:tcPr>
          <w:p>
            <w:r>
              <w:rPr>
                <w:sz w:val="18"/>
              </w:rPr>
              <w:t>Day 730</w:t>
            </w:r>
          </w:p>
        </w:tc>
        <w:tc>
          <w:tcPr>
            <w:tcW w:type="dxa" w:w="3513"/>
          </w:tcPr>
          <w:p>
            <w:r>
              <w:rPr>
                <w:sz w:val="18"/>
              </w:rPr>
              <w:t>Re-rank again if Pierce &gt; 4%.</w:t>
            </w:r>
          </w:p>
        </w:tc>
      </w:tr>
      <w:tr>
        <w:tc>
          <w:tcPr>
            <w:tcW w:type="dxa" w:w="3513"/>
          </w:tcPr>
          <w:p>
            <w:r>
              <w:rPr>
                <w:sz w:val="18"/>
              </w:rPr>
              <w:t>2029-08-17</w:t>
            </w:r>
          </w:p>
        </w:tc>
        <w:tc>
          <w:tcPr>
            <w:tcW w:type="dxa" w:w="3513"/>
          </w:tcPr>
          <w:p>
            <w:r>
              <w:rPr>
                <w:sz w:val="18"/>
              </w:rPr>
              <w:t>Day 1095</w:t>
            </w:r>
          </w:p>
        </w:tc>
        <w:tc>
          <w:tcPr>
            <w:tcW w:type="dxa" w:w="3513"/>
          </w:tcPr>
          <w:p>
            <w:r>
              <w:rPr>
                <w:sz w:val="18"/>
              </w:rPr>
              <w:t>Track 2021-2023 cohort as it ages out of powertrain warranty.</w:t>
            </w:r>
          </w:p>
        </w:tc>
      </w:tr>
      <w:tr>
        <w:tc>
          <w:tcPr>
            <w:tcW w:type="dxa" w:w="3513"/>
          </w:tcPr>
          <w:p>
            <w:r>
              <w:rPr>
                <w:sz w:val="18"/>
              </w:rPr>
              <w:t>2030-08-17</w:t>
            </w:r>
          </w:p>
        </w:tc>
        <w:tc>
          <w:tcPr>
            <w:tcW w:type="dxa" w:w="3513"/>
          </w:tcPr>
          <w:p>
            <w:r>
              <w:rPr>
                <w:sz w:val="18"/>
              </w:rPr>
              <w:t>Day 1460</w:t>
            </w:r>
          </w:p>
        </w:tc>
        <w:tc>
          <w:tcPr>
            <w:tcW w:type="dxa" w:w="3513"/>
          </w:tcPr>
          <w:p>
            <w:r>
              <w:rPr>
                <w:sz w:val="18"/>
              </w:rPr>
              <w:t>Structural inflection point: 2021-2023 cohort rolling out of warranty. Reassess full plan.</w:t>
            </w:r>
          </w:p>
        </w:tc>
      </w:tr>
    </w:tbl>
    <w:p>
      <w:pPr>
        <w:spacing w:before="160" w:after="80"/>
      </w:pPr>
      <w:r>
        <w:rPr>
          <w:b/>
          <w:color w:val="1F3A5F"/>
          <w:sz w:val="28"/>
        </w:rPr>
        <w:t>BORROWING (RECOMMENDATION: NO ADDITIONAL BORROWING NOW)</w:t>
      </w:r>
    </w:p>
    <w:p>
      <w:pPr>
        <w:spacing w:after="80"/>
      </w:pPr>
      <w:r>
        <w:rPr>
          <w:b/>
          <w:sz w:val="20"/>
        </w:rPr>
        <w:t>Recommended: do not borrow now. Re-evaluate borrowing only after the data gate passes, after real lender quotes are obtained, and after the Day 90 ramp is verified.</w:t>
      </w:r>
    </w:p>
    <w:p>
      <w:pPr>
        <w:spacing w:after="40"/>
      </w:pPr>
      <w:r>
        <w:rPr>
          <w:b/>
          <w:sz w:val="20"/>
        </w:rPr>
        <w:t>Future borrowing gate (use as a checklist before any future borrowing):</w:t>
      </w:r>
    </w:p>
    <w:p>
      <w:pPr>
        <w:spacing w:after="40"/>
      </w:pPr>
      <w:r>
        <w:rPr>
          <w:b w:val="0"/>
          <w:sz w:val="20"/>
        </w:rPr>
        <w:t>Get real 60-month equipment quotes from at least two lenders (credit union, bank, SBA 7(a)).</w:t>
      </w:r>
    </w:p>
    <w:p>
      <w:pPr>
        <w:spacing w:after="40"/>
      </w:pPr>
      <w:r>
        <w:rPr>
          <w:b w:val="0"/>
          <w:sz w:val="20"/>
        </w:rPr>
        <w:t>Benchmark against the May 2026 48-month new-auto rate of 7.47% (FRED TERMCBAUTO48NS, retrieved 2026-08-13). A typical credit-union or SBA 7(a) equipment loan for an established LLC lands 100-200 bps BELOW new-auto-loan rates, so a real quote in the 5.5-6.5% range is plausible.</w:t>
      </w:r>
    </w:p>
    <w:p>
      <w:pPr>
        <w:spacing w:after="40"/>
      </w:pPr>
      <w:r>
        <w:rPr>
          <w:b w:val="0"/>
          <w:sz w:val="20"/>
        </w:rPr>
        <w:t>Use $100,000 at the 7.62% placeholder only to show about $463/week P+I and $20,329 total interest. This is a modeling placeholder, not a lender quote; replace with the quoted rate before any decision.</w:t>
      </w:r>
    </w:p>
    <w:p>
      <w:pPr>
        <w:spacing w:after="40"/>
      </w:pPr>
      <w:r>
        <w:rPr>
          <w:b w:val="0"/>
          <w:sz w:val="20"/>
        </w:rPr>
        <w:t>Borrow only after verified incremental contribution margin covers at least 1.5x debt service. For a $100k / 7.62% / 60-mo loan at $462.80/wk, that is $694/wk of verified incremental CM, measured not modeled, and net of any ramp-up lag.</w:t>
      </w:r>
    </w:p>
    <w:p>
      <w:pPr>
        <w:spacing w:after="40"/>
      </w:pPr>
      <w:r>
        <w:rPr>
          <w:b w:val="0"/>
          <w:sz w:val="20"/>
        </w:rPr>
        <w:t>Borrow only after contracted revenue supports the case -- fleet account, OEM authorized-service, dealer sublet. Speculative EV growth is not sufficient.</w:t>
      </w:r>
    </w:p>
    <w:p>
      <w:pPr>
        <w:spacing w:after="40"/>
      </w:pPr>
      <w:r>
        <w:rPr>
          <w:b w:val="0"/>
          <w:sz w:val="20"/>
        </w:rPr>
        <w:t>Personal liquidity check. If the LLC requires a personal guarantee, the owner must be able to service $463/wk from personal reserves without putting household cash flow at risk.</w:t>
      </w:r>
    </w:p>
    <w:p>
      <w:pPr>
        <w:spacing w:after="80"/>
      </w:pPr>
      <w:r>
        <w:rPr>
          <w:b/>
          <w:sz w:val="20"/>
        </w:rPr>
        <w:t>Sensitivity reference (verified against numpy_financial):</w:t>
      </w:r>
    </w:p>
    <w:tbl>
      <w:tblPr>
        <w:tblStyle w:val="LightGrid-Accent1"/>
        <w:tblW w:type="auto" w:w="0"/>
        <w:tblLook w:firstColumn="1" w:firstRow="1" w:lastColumn="0" w:lastRow="0" w:noHBand="0" w:noVBand="1" w:val="04A0"/>
      </w:tblPr>
      <w:tblGrid>
        <w:gridCol w:w="3513"/>
        <w:gridCol w:w="3513"/>
        <w:gridCol w:w="3513"/>
      </w:tblGrid>
      <w:tr>
        <w:trPr>
          <w:tblHeader w:val="true"/>
        </w:trPr>
        <w:tc>
          <w:tcPr>
            <w:tcW w:type="dxa" w:w="3513"/>
            <w:shd w:val="clear" w:color="auto" w:fill="1F3A5F"/>
          </w:tcPr>
          <w:p>
            <w:r>
              <w:rPr>
                <w:b/>
                <w:color w:val="FFFFFF"/>
                <w:sz w:val="18"/>
              </w:rPr>
              <w:t>Rate (60-mo, $100k)</w:t>
            </w:r>
          </w:p>
        </w:tc>
        <w:tc>
          <w:tcPr>
            <w:tcW w:type="dxa" w:w="3513"/>
            <w:shd w:val="clear" w:color="auto" w:fill="1F3A5F"/>
          </w:tcPr>
          <w:p>
            <w:r>
              <w:rPr>
                <w:b/>
                <w:color w:val="FFFFFF"/>
                <w:sz w:val="18"/>
              </w:rPr>
              <w:t>Weekly P+I</w:t>
            </w:r>
          </w:p>
        </w:tc>
        <w:tc>
          <w:tcPr>
            <w:tcW w:type="dxa" w:w="3513"/>
            <w:shd w:val="clear" w:color="auto" w:fill="1F3A5F"/>
          </w:tcPr>
          <w:p>
            <w:r>
              <w:rPr>
                <w:b/>
                <w:color w:val="FFFFFF"/>
                <w:sz w:val="18"/>
              </w:rPr>
              <w:t>60-mo total interest</w:t>
            </w:r>
          </w:p>
        </w:tc>
      </w:tr>
      <w:tr>
        <w:tc>
          <w:tcPr>
            <w:tcW w:type="dxa" w:w="3513"/>
          </w:tcPr>
          <w:p>
            <w:r>
              <w:rPr>
                <w:b/>
                <w:sz w:val="18"/>
              </w:rPr>
              <w:t>5.97% (LOW placeholder)</w:t>
            </w:r>
          </w:p>
        </w:tc>
        <w:tc>
          <w:tcPr>
            <w:tcW w:type="dxa" w:w="3513"/>
          </w:tcPr>
          <w:p>
            <w:r>
              <w:rPr>
                <w:b/>
                <w:sz w:val="18"/>
              </w:rPr>
              <w:t>$445</w:t>
            </w:r>
          </w:p>
        </w:tc>
        <w:tc>
          <w:tcPr>
            <w:tcW w:type="dxa" w:w="3513"/>
          </w:tcPr>
          <w:p>
            <w:r>
              <w:rPr>
                <w:b/>
                <w:sz w:val="18"/>
              </w:rPr>
              <w:t>$15,723</w:t>
            </w:r>
          </w:p>
        </w:tc>
      </w:tr>
      <w:tr>
        <w:tc>
          <w:tcPr>
            <w:tcW w:type="dxa" w:w="3513"/>
          </w:tcPr>
          <w:p>
            <w:r>
              <w:rPr>
                <w:b/>
                <w:sz w:val="18"/>
              </w:rPr>
              <w:t>7.62% (BASE placeholder)</w:t>
            </w:r>
          </w:p>
        </w:tc>
        <w:tc>
          <w:tcPr>
            <w:tcW w:type="dxa" w:w="3513"/>
          </w:tcPr>
          <w:p>
            <w:r>
              <w:rPr>
                <w:b/>
                <w:sz w:val="18"/>
              </w:rPr>
              <w:t>$463</w:t>
            </w:r>
          </w:p>
        </w:tc>
        <w:tc>
          <w:tcPr>
            <w:tcW w:type="dxa" w:w="3513"/>
          </w:tcPr>
          <w:p>
            <w:r>
              <w:rPr>
                <w:b/>
                <w:sz w:val="18"/>
              </w:rPr>
              <w:t>$20,329</w:t>
            </w:r>
          </w:p>
        </w:tc>
      </w:tr>
      <w:tr>
        <w:tc>
          <w:tcPr>
            <w:tcW w:type="dxa" w:w="3513"/>
          </w:tcPr>
          <w:p>
            <w:r>
              <w:rPr>
                <w:b/>
                <w:sz w:val="18"/>
              </w:rPr>
              <w:t>8.97% (HIGH placeholder)</w:t>
            </w:r>
          </w:p>
        </w:tc>
        <w:tc>
          <w:tcPr>
            <w:tcW w:type="dxa" w:w="3513"/>
          </w:tcPr>
          <w:p>
            <w:r>
              <w:rPr>
                <w:b/>
                <w:sz w:val="18"/>
              </w:rPr>
              <w:t>$478</w:t>
            </w:r>
          </w:p>
        </w:tc>
        <w:tc>
          <w:tcPr>
            <w:tcW w:type="dxa" w:w="3513"/>
          </w:tcPr>
          <w:p>
            <w:r>
              <w:rPr>
                <w:b/>
                <w:sz w:val="18"/>
              </w:rPr>
              <w:t>$24,180</w:t>
            </w:r>
          </w:p>
        </w:tc>
      </w:tr>
    </w:tbl>
    <w:p>
      <w:pPr>
        <w:spacing w:after="160"/>
      </w:pPr>
      <w:r>
        <w:rPr>
          <w:b w:val="0"/>
          <w:color w:val="555555"/>
          <w:sz w:val="18"/>
        </w:rPr>
        <w:t>The band is narrow; the bigger lever is whether to draw the loan, not which rate to negotiate.</w:t>
      </w:r>
    </w:p>
    <w:p>
      <w:pPr>
        <w:spacing w:before="160" w:after="80"/>
      </w:pPr>
      <w:r>
        <w:rPr>
          <w:b/>
          <w:color w:val="1F3A5F"/>
          <w:sz w:val="28"/>
        </w:rPr>
        <w:t>WHAT TO DO (summary)</w:t>
      </w:r>
    </w:p>
    <w:p>
      <w:pPr>
        <w:spacing w:after="40"/>
      </w:pPr>
      <w:r>
        <w:rPr>
          <w:b w:val="0"/>
          <w:sz w:val="20"/>
        </w:rPr>
        <w:t>Q3-Q4 2026 (NOW): Pull shop-level P&amp;L and RO powertrain mix for both locations. Pass the data gate. ~20 hours of owner time.</w:t>
      </w:r>
    </w:p>
    <w:p>
      <w:pPr>
        <w:spacing w:after="40"/>
      </w:pPr>
      <w:r>
        <w:rPr>
          <w:b w:val="0"/>
          <w:sz w:val="20"/>
        </w:rPr>
        <w:t>Q1 2027: Send one tech per shop through ASE xEV certification. $6-10k.</w:t>
      </w:r>
    </w:p>
    <w:p>
      <w:pPr>
        <w:spacing w:after="40"/>
      </w:pPr>
      <w:r>
        <w:rPr>
          <w:b w:val="0"/>
          <w:sz w:val="20"/>
        </w:rPr>
        <w:t>Q2 2027: Dual Level-2 chargers at Tacoma. $8-15k.</w:t>
      </w:r>
    </w:p>
    <w:p>
      <w:pPr>
        <w:spacing w:after="40"/>
      </w:pPr>
      <w:r>
        <w:rPr>
          <w:b w:val="0"/>
          <w:sz w:val="20"/>
        </w:rPr>
        <w:t>Q2-Q3 2027: ADAS calibration + alignment at Spokane. $40-60k.</w:t>
      </w:r>
    </w:p>
    <w:p>
      <w:pPr>
        <w:spacing w:after="40"/>
      </w:pPr>
      <w:r>
        <w:rPr>
          <w:b w:val="0"/>
          <w:sz w:val="20"/>
        </w:rPr>
        <w:t>Q4 2027: Re-measure EV penetration; re-rank if Pierce crosses 4%.</w:t>
      </w:r>
    </w:p>
    <w:p>
      <w:pPr>
        <w:spacing w:after="40"/>
      </w:pPr>
      <w:r>
        <w:rPr>
          <w:b w:val="0"/>
          <w:sz w:val="20"/>
        </w:rPr>
        <w:t>Ongoing: Annual re-measurement through 2030.</w:t>
      </w:r>
    </w:p>
    <w:p>
      <w:pPr>
        <w:spacing w:before="160" w:after="80"/>
      </w:pPr>
      <w:r>
        <w:rPr>
          <w:b/>
          <w:color w:val="1F3A5F"/>
          <w:sz w:val="28"/>
        </w:rPr>
        <w:t>SOURCES</w:t>
      </w:r>
    </w:p>
    <w:p>
      <w:pPr>
        <w:spacing w:after="40"/>
      </w:pPr>
      <w:r>
        <w:rPr>
          <w:b w:val="0"/>
          <w:color w:val="555555"/>
          <w:sz w:val="18"/>
        </w:rPr>
        <w:t>WA DOL EV roster counts: SQLite /srv/ua/users/output/entity12/ev_v2.db, table ev. SQL: SELECT county, COUNT(*) FROM ev WHERE state='WA' AND county IN ('Pierce','Spokane') GROUP BY county. 289,564 WA-garaged rows.</w:t>
      </w:r>
    </w:p>
    <w:p>
      <w:pPr>
        <w:spacing w:after="40"/>
      </w:pPr>
      <w:r>
        <w:rPr>
          <w:b w:val="0"/>
          <w:color w:val="555555"/>
          <w:sz w:val="18"/>
        </w:rPr>
        <w:t>Penetration denominators (ESTIMATES): WTSC Oct 2025 (wtsc.wa.gov/wp-content/uploads/dlm_uploads/2025/10/11_State-of-the-State_Oct2025.pdf) for the 8,012,765 statewide registered-vehicle total; WA OFM county-share weights for allocation.</w:t>
      </w:r>
    </w:p>
    <w:p>
      <w:pPr>
        <w:spacing w:after="40"/>
      </w:pPr>
      <w:r>
        <w:rPr>
          <w:b w:val="0"/>
          <w:color w:val="555555"/>
          <w:sz w:val="18"/>
        </w:rPr>
        <w:t>FRED TERMCBAUTO48NS (May 2026): https://fred.stlouisfed.org/series/TERMCBAUTO48NS, 7.47%. Retrieved 2026-08-13.</w:t>
      </w:r>
    </w:p>
    <w:p>
      <w:pPr>
        <w:spacing w:after="40"/>
      </w:pPr>
      <w:r>
        <w:rPr>
          <w:b w:val="0"/>
          <w:color w:val="555555"/>
          <w:sz w:val="18"/>
        </w:rPr>
        <w:t>FRED FEDFUNDS (July 2026): 3.63%. fred_fedfunds.csv on file.</w:t>
      </w:r>
    </w:p>
    <w:p>
      <w:pPr>
        <w:spacing w:after="40"/>
      </w:pPr>
      <w:r>
        <w:rPr>
          <w:b w:val="0"/>
          <w:color w:val="555555"/>
          <w:sz w:val="18"/>
        </w:rPr>
        <w:t>Supporting reports (final): EV_Exposure_Tacoma_vs_Spokane_Final.md, EV_Cash_Decision_Report_Final.md.</w:t>
      </w:r>
    </w:p>
    <w:p>
      <w:pPr>
        <w:spacing w:after="40"/>
      </w:pPr>
      <w:r>
        <w:rPr>
          <w:b w:val="0"/>
          <w:color w:val="555555"/>
          <w:sz w:val="18"/>
        </w:rPr>
        <w:t>Workbook: EV_Repositioning_Cash_Model.xlsx. Inputs are yellow cells; all other figures are formulas.</w:t>
      </w:r>
    </w:p>
    <w:sectPr w:rsidR="00FC693F" w:rsidRPr="0006063C" w:rsidSect="00034616">
      <w:footerReference w:type="default" r:id="rId9"/>
      <w:headerReference w:type="default" r:id="rId10"/>
      <w:pgSz w:w="12240" w:h="15840"/>
      <w:pgMar w:top="850" w:right="850" w:bottom="850" w:left="85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color w:val="555555"/>
        <w:sz w:val="16"/>
      </w:rPr>
      <w:t>Prepared by Simkins &amp; Elgazar LLC | Confidential - Prepared by UnifiedAnalyst (automated analysis). Review before use.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