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F3A5F"/>
          <w:sz w:val="32"/>
        </w:rPr>
        <w:t>Is Now a Sensible Time to Borrow for the Next Restaurant Location?</w:t>
      </w:r>
    </w:p>
    <w:p>
      <w:r>
        <w:rPr>
          <w:i/>
          <w:color w:val="6B7280"/>
          <w:sz w:val="18"/>
        </w:rPr>
        <w:t>Prepared for The Owner, Simkins &amp; Elgazar LLC  |  August 13, 2026  |  Source data: cost_and_rates.csv (Jan 2015 to Jul 2026)</w:t>
      </w:r>
    </w:p>
    <w:p/>
    <w:p>
      <w:r>
        <w:rPr>
          <w:b/>
          <w:color w:val="1F3A5F"/>
          <w:sz w:val="26"/>
        </w:rPr>
        <w:t xml:space="preserve">VERDICT: </w:t>
      </w:r>
      <w:r>
        <w:rPr>
          <w:b/>
          <w:color w:val="0F4C81"/>
          <w:sz w:val="26"/>
        </w:rPr>
        <w:t>CONDITIONAL YES — proceed with a fixed rate and a lower loan size.</w:t>
      </w:r>
    </w:p>
    <w:p>
      <w:pPr>
        <w:spacing w:after="80"/>
      </w:pPr>
      <w:r>
        <w:rPr>
          <w:b/>
          <w:color w:val="1F3A5F"/>
          <w:sz w:val="24"/>
        </w:rPr>
        <w:t>Headline</w:t>
      </w:r>
    </w:p>
    <w:p>
      <w:pPr>
        <w:spacing w:after="40"/>
      </w:pPr>
      <w:r>
        <w:rPr>
          <w:b w:val="0"/>
          <w:color w:val="1F2937"/>
          <w:sz w:val="20"/>
        </w:rPr>
        <w:t>The rate environment is workable but not forgiving. Fed Funds at 3.63% sits 170 bps below the August 2023 peak of 5.33% and 170 bps of easing is behind us. But the policy rate is still 2.5 percentage points above its 2015-2019 average, and the median APR small restaurants actually pay on debt is 8.50% (2024 SBCS) — a 487 bps spread over Fed Funds. CPI YoY is 3.30% and Real Fed Funds is mildly positive at +0.33 pp: monetary conditions are not actively accommodative. The binding constraint on this decision is loan size, not the rate level. At the placeholder $750,000 senior debt, $1.4M AUV, 10% net margin, and SBCS-anchor 8.50% rate, DSCR is 0.98x — below 1.0 — meaning the loan is structurally too large for the cash flow.</w:t>
      </w:r>
    </w:p>
    <w:p>
      <w:pPr>
        <w:spacing w:after="80"/>
      </w:pPr>
      <w:r>
        <w:rPr>
          <w:b/>
          <w:color w:val="1F3A5F"/>
          <w:sz w:val="24"/>
        </w:rPr>
        <w:t>Key Numbers (verbatim from cost_and_rates.csv)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304"/>
            <w:shd w:fill="1F3A5F"/>
          </w:tcPr>
          <w:p>
            <w:r>
              <w:rPr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2160"/>
            <w:shd w:fill="1F3A5F"/>
          </w:tcPr>
          <w:p>
            <w:r>
              <w:rPr>
                <w:b/>
                <w:color w:val="FFFFFF"/>
                <w:sz w:val="18"/>
              </w:rPr>
              <w:t>Latest value</w:t>
            </w:r>
          </w:p>
        </w:tc>
        <w:tc>
          <w:tcPr>
            <w:tcW w:type="dxa" w:w="5760"/>
            <w:shd w:fill="1F3A5F"/>
          </w:tcPr>
          <w:p>
            <w:r>
              <w:rPr>
                <w:b/>
                <w:color w:val="FFFFFF"/>
                <w:sz w:val="18"/>
              </w:rPr>
              <w:t>Comparison</w:t>
            </w:r>
          </w:p>
        </w:tc>
      </w:tr>
      <w:tr>
        <w:tc>
          <w:tcPr>
            <w:tcW w:type="dxa" w:w="2304"/>
          </w:tcPr>
          <w:p>
            <w:r>
              <w:rPr>
                <w:sz w:val="18"/>
              </w:rPr>
              <w:t>Fed Funds Rate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3.63% (Jul 2026)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Down 170 bps from peak 5.33% (Aug 2023); +253 bps above pre-COVID mean 1.10%</w:t>
            </w:r>
          </w:p>
        </w:tc>
      </w:tr>
      <w:tr>
        <w:tc>
          <w:tcPr>
            <w:tcW w:type="dxa" w:w="2304"/>
          </w:tcPr>
          <w:p>
            <w:r>
              <w:rPr>
                <w:sz w:val="18"/>
              </w:rPr>
              <w:t>CPI cumulative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332.813 (Jul 2026)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+41.78% since Jan 2015; +28.68% since Dec 2019 (pre-COVID)</w:t>
            </w:r>
          </w:p>
        </w:tc>
      </w:tr>
      <w:tr>
        <w:tc>
          <w:tcPr>
            <w:tcW w:type="dxa" w:w="2304"/>
          </w:tcPr>
          <w:p>
            <w:r>
              <w:rPr>
                <w:sz w:val="18"/>
              </w:rPr>
              <w:t>PPI cumulative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286.827 (Jun 2026)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+49.39% since Jan 2015; +44.13% since Dec 2019 — input-cost inflation re-accelerating</w:t>
            </w:r>
          </w:p>
        </w:tc>
      </w:tr>
      <w:tr>
        <w:tc>
          <w:tcPr>
            <w:tcW w:type="dxa" w:w="2304"/>
          </w:tcPr>
          <w:p>
            <w:r>
              <w:rPr>
                <w:sz w:val="18"/>
              </w:rPr>
              <w:t>CPI 12-month YoY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3.30%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Below recent peaks; above 2% Fed target</w:t>
            </w:r>
          </w:p>
        </w:tc>
      </w:tr>
      <w:tr>
        <w:tc>
          <w:tcPr>
            <w:tcW w:type="dxa" w:w="2304"/>
          </w:tcPr>
          <w:p>
            <w:r>
              <w:rPr>
                <w:sz w:val="18"/>
              </w:rPr>
              <w:t>Unemployment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4.10%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Labour market past the post-COVID spike; tight in target counties</w:t>
            </w:r>
          </w:p>
        </w:tc>
      </w:tr>
      <w:tr>
        <w:tc>
          <w:tcPr>
            <w:tcW w:type="dxa" w:w="2304"/>
          </w:tcPr>
          <w:p>
            <w:r>
              <w:rPr>
                <w:sz w:val="18"/>
              </w:rPr>
              <w:t>SBCS median APR (debt)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8.50%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The actual rate small restaurants pay; 487 bps over Fed Funds</w:t>
            </w:r>
          </w:p>
        </w:tc>
      </w:tr>
      <w:tr>
        <w:tc>
          <w:tcPr>
            <w:tcW w:type="dxa" w:w="2304"/>
          </w:tcPr>
          <w:p>
            <w:r>
              <w:rPr>
                <w:sz w:val="18"/>
              </w:rPr>
              <w:t>Real FF (nominal - CPI)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+0.33 pp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Mildly positive: monetary conditions not actively stimulative</w:t>
            </w:r>
          </w:p>
        </w:tc>
      </w:tr>
    </w:tbl>
    <w:p>
      <w:pPr>
        <w:spacing w:after="80"/>
      </w:pPr>
      <w:r>
        <w:rPr>
          <w:b/>
          <w:color w:val="1F3A5F"/>
          <w:sz w:val="24"/>
        </w:rPr>
        <w:t>Debt Service Capacity  ($750K senior debt, 7-year amort, 5-year fixed)</w:t>
      </w:r>
    </w:p>
    <w:p>
      <w:pPr>
        <w:spacing w:after="40"/>
      </w:pPr>
      <w:r>
        <w:rPr>
          <w:b w:val="0"/>
          <w:color w:val="1F2937"/>
          <w:sz w:val="20"/>
        </w:rPr>
        <w:t>Borrowing-readiness changes with rate and net margin. The 8.50% SBCS anchor and 10% net margin are the working assumptions; the workbook lets you overwrite both.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c>
          <w:tcPr>
            <w:tcW w:type="dxa" w:w="2016"/>
            <w:shd w:fill="1F3A5F"/>
          </w:tcPr>
          <w:p>
            <w:r>
              <w:rPr>
                <w:b/>
                <w:color w:val="FFFFFF"/>
                <w:sz w:val="18"/>
              </w:rPr>
              <w:t>Annual rate</w:t>
            </w:r>
          </w:p>
        </w:tc>
        <w:tc>
          <w:tcPr>
            <w:tcW w:type="dxa" w:w="1152"/>
            <w:shd w:fill="1F3A5F"/>
          </w:tcPr>
          <w:p>
            <w:r>
              <w:rPr>
                <w:b/>
                <w:color w:val="FFFFFF"/>
                <w:sz w:val="18"/>
              </w:rPr>
              <w:t>Monthly P&amp;I</w:t>
            </w:r>
          </w:p>
        </w:tc>
        <w:tc>
          <w:tcPr>
            <w:tcW w:type="dxa" w:w="1152"/>
            <w:shd w:fill="1F3A5F"/>
          </w:tcPr>
          <w:p>
            <w:r>
              <w:rPr>
                <w:b/>
                <w:color w:val="FFFFFF"/>
                <w:sz w:val="18"/>
              </w:rPr>
              <w:t>Annual DS</w:t>
            </w:r>
          </w:p>
        </w:tc>
        <w:tc>
          <w:tcPr>
            <w:tcW w:type="dxa" w:w="1440"/>
            <w:shd w:fill="1F3A5F"/>
          </w:tcPr>
          <w:p>
            <w:r>
              <w:rPr>
                <w:b/>
                <w:color w:val="FFFFFF"/>
                <w:sz w:val="18"/>
              </w:rPr>
              <w:t>DSCR @ 8% net</w:t>
            </w:r>
          </w:p>
        </w:tc>
        <w:tc>
          <w:tcPr>
            <w:tcW w:type="dxa" w:w="1440"/>
            <w:shd w:fill="1F3A5F"/>
          </w:tcPr>
          <w:p>
            <w:r>
              <w:rPr>
                <w:b/>
                <w:color w:val="FFFFFF"/>
                <w:sz w:val="18"/>
              </w:rPr>
              <w:t>DSCR @ 10% net</w:t>
            </w:r>
          </w:p>
        </w:tc>
        <w:tc>
          <w:tcPr>
            <w:tcW w:type="dxa" w:w="1440"/>
            <w:shd w:fill="1F3A5F"/>
          </w:tcPr>
          <w:p>
            <w:r>
              <w:rPr>
                <w:b/>
                <w:color w:val="FFFFFF"/>
                <w:sz w:val="18"/>
              </w:rPr>
              <w:t>DSCR @ 12% net</w:t>
            </w:r>
          </w:p>
        </w:tc>
        <w:tc>
          <w:tcPr>
            <w:tcW w:type="dxa" w:w="1440"/>
            <w:shd w:fill="1F3A5F"/>
          </w:tcPr>
          <w:p>
            <w:r>
              <w:rPr>
                <w:b/>
                <w:color w:val="FFFFFF"/>
                <w:sz w:val="18"/>
              </w:rPr>
              <w:t>Status (10% net)</w:t>
            </w:r>
          </w:p>
        </w:tc>
      </w:tr>
      <w:tr>
        <w:tc>
          <w:tcPr>
            <w:tcW w:type="dxa" w:w="2016"/>
          </w:tcPr>
          <w:p>
            <w:r>
              <w:rPr>
                <w:sz w:val="18"/>
              </w:rPr>
              <w:t>6.50%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$11,137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$133,645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0.84x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1.05x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1.26x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WATCH</w:t>
            </w:r>
          </w:p>
        </w:tc>
      </w:tr>
      <w:tr>
        <w:tc>
          <w:tcPr>
            <w:tcW w:type="dxa" w:w="2016"/>
          </w:tcPr>
          <w:p>
            <w:r>
              <w:rPr>
                <w:sz w:val="18"/>
              </w:rPr>
              <w:t>7.50%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$11,504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$138,044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0.81x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1.01x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1.22x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WATCH</w:t>
            </w:r>
          </w:p>
        </w:tc>
      </w:tr>
      <w:tr>
        <w:tc>
          <w:tcPr>
            <w:tcW w:type="dxa" w:w="2016"/>
          </w:tcPr>
          <w:p>
            <w:r>
              <w:rPr>
                <w:sz w:val="18"/>
              </w:rPr>
              <w:t>8.50% (SBCS median)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$11,877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$142,528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0.79x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0.98x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1.18x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FAIL</w:t>
            </w:r>
          </w:p>
        </w:tc>
      </w:tr>
      <w:tr>
        <w:tc>
          <w:tcPr>
            <w:tcW w:type="dxa" w:w="2016"/>
          </w:tcPr>
          <w:p>
            <w:r>
              <w:rPr>
                <w:sz w:val="18"/>
              </w:rPr>
              <w:t>9.50%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$12,258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$147,096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0.76x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0.95x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1.14x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FAIL</w:t>
            </w:r>
          </w:p>
        </w:tc>
      </w:tr>
      <w:tr>
        <w:tc>
          <w:tcPr>
            <w:tcW w:type="dxa" w:w="2016"/>
          </w:tcPr>
          <w:p>
            <w:r>
              <w:rPr>
                <w:sz w:val="18"/>
              </w:rPr>
              <w:t>10.50%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$12,646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$151,746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0.74x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0.92x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1.11x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FAIL</w:t>
            </w:r>
          </w:p>
        </w:tc>
      </w:tr>
    </w:tbl>
    <w:p>
      <w:pPr>
        <w:spacing w:after="40"/>
      </w:pPr>
      <w:r>
        <w:rPr>
          <w:b w:val="0"/>
          <w:color w:val="7F1D1D"/>
          <w:sz w:val="18"/>
        </w:rPr>
        <w:t>Critical finding: At 8.50% rate and 10% net margin, DSCR is 0.98x — the loan is structurally too large for the cash flow under these assumptions. The break-even rate for 1.15x DSCR at 10% net is 3.69% — well below current Fed Funds. The break-even rate at 12% net is 9.28%. Per the max-loan calculation at 8.50% and 10% net, cash flow only supports about $613,913 of senior debt at 1.20x DSCR — about $136,000 less than the placeholder.</w:t>
      </w:r>
    </w:p>
    <w:p>
      <w:pPr>
        <w:spacing w:after="80"/>
      </w:pPr>
      <w:r>
        <w:rPr>
          <w:b/>
          <w:color w:val="1F3A5F"/>
          <w:sz w:val="24"/>
        </w:rPr>
        <w:t>Conditions to Proceed  (all seven must hold at close)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576"/>
            <w:shd w:fill="1F3A5F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56"/>
            <w:shd w:fill="1F3A5F"/>
          </w:tcPr>
          <w:p>
            <w:r>
              <w:rPr>
                <w:b/>
                <w:color w:val="FFFFFF"/>
                <w:sz w:val="18"/>
              </w:rPr>
              <w:t>Condition</w:t>
            </w:r>
          </w:p>
        </w:tc>
        <w:tc>
          <w:tcPr>
            <w:tcW w:type="dxa" w:w="6048"/>
            <w:shd w:fill="1F3A5F"/>
          </w:tcPr>
          <w:p>
            <w:r>
              <w:rPr>
                <w:b/>
                <w:color w:val="FFFFFF"/>
                <w:sz w:val="18"/>
              </w:rPr>
              <w:t>Why it matters</w:t>
            </w:r>
          </w:p>
        </w:tc>
      </w:tr>
      <w:tr>
        <w:tc>
          <w:tcPr>
            <w:tcW w:type="dxa" w:w="57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Lock a fixed rate at application, not a floating line.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Fed Funds has eased 170 bps from peak but is still 250+ bps above 2015-19 norm. Floating re-costs if Fed reverses.</w:t>
            </w:r>
          </w:p>
        </w:tc>
      </w:tr>
      <w:tr>
        <w:tc>
          <w:tcPr>
            <w:tcW w:type="dxa" w:w="57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Cap loan principal at ~$614K (or 1.20x DSCR sized) at 8.50% / 10% net.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The $750K placeholder produces 0.98x DSCR — too large. Use Debt Capacity Section D in the workbook.</w:t>
            </w:r>
          </w:p>
        </w:tc>
      </w:tr>
      <w:tr>
        <w:tc>
          <w:tcPr>
            <w:tcW w:type="dxa" w:w="576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Lead with a small bank or SBA 7(a)/504 lender — not an online lender as primary.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SBCS shows small-bank approval 54% vs online 30%; 75% of online applicants cite high rates.</w:t>
            </w:r>
          </w:p>
        </w:tc>
      </w:tr>
      <w:tr>
        <w:tc>
          <w:tcPr>
            <w:tcW w:type="dxa" w:w="57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Fund a 6-month operating-expense reserve from owner equity, not the loan.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24% of SBCS respondents cut staff/hours when revenue softened; cushion must come from cash.</w:t>
            </w:r>
          </w:p>
        </w:tc>
      </w:tr>
      <w:tr>
        <w:tc>
          <w:tcPr>
            <w:tcW w:type="dxa" w:w="57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Contribute at least 25% owner equity; SBA minimum is 10% but 25%+ signals cushion.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Restaurant ramp rarely breaks even before month 6; cushion prevents DSCR failure in months 4-6.</w:t>
            </w:r>
          </w:p>
        </w:tc>
      </w:tr>
      <w:tr>
        <w:tc>
          <w:tcPr>
            <w:tcW w:type="dxa" w:w="57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Stress-test the loan at +200 bps above the locked rate; DSCR must clear 1.10x.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Unanticipated tightening is the dominant failure mode for this deal size.</w:t>
            </w:r>
          </w:p>
        </w:tc>
      </w:tr>
      <w:tr>
        <w:tc>
          <w:tcPr>
            <w:tcW w:type="dxa" w:w="576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456"/>
          </w:tcPr>
          <w:p>
            <w:r>
              <w:rPr>
                <w:sz w:val="18"/>
              </w:rPr>
              <w:t>Set a deal-killer trigger: Fed Funds moves &gt;100 bps higher before close, revisit principal.</w:t>
            </w:r>
          </w:p>
        </w:tc>
        <w:tc>
          <w:tcPr>
            <w:tcW w:type="dxa" w:w="6048"/>
          </w:tcPr>
          <w:p>
            <w:r>
              <w:rPr>
                <w:sz w:val="18"/>
              </w:rPr>
              <w:t>2022-2023 added 425 bps in 16 months. Mid-close repricing shock is the most common SBA 7(a) failure.</w:t>
            </w:r>
          </w:p>
        </w:tc>
      </w:tr>
    </w:tbl>
    <w:p>
      <w:pPr>
        <w:spacing w:after="80"/>
      </w:pPr>
      <w:r>
        <w:rPr>
          <w:b/>
          <w:color w:val="1F3A5F"/>
          <w:sz w:val="24"/>
        </w:rPr>
        <w:t>Triggers That Would Change the Verdict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320"/>
            <w:shd w:fill="1F3A5F"/>
          </w:tcPr>
          <w:p>
            <w:r>
              <w:rPr>
                <w:b/>
                <w:color w:val="FFFFFF"/>
                <w:sz w:val="18"/>
              </w:rPr>
              <w:t>Trigger</w:t>
            </w:r>
          </w:p>
        </w:tc>
        <w:tc>
          <w:tcPr>
            <w:tcW w:type="dxa" w:w="5760"/>
            <w:shd w:fill="1F3A5F"/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Fed Funds rises &gt;100 bps above 3.63% (i.e. ~4.75%)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Re-cast loan size at the new rate; principal likely shrinks.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Target-county unemployment drops below 3.0%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Labour-availability risk binding; pick deeper-pool market or delay.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Pro forma DSCR &lt; 1.30 at the bank-quoted rate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Reduce principal, increase equity, or defer.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CPI YoY re-accelerates above 5.0% for two months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Real rates turn decisively positive; tightening likely. Lock rate.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Wave of competing restaurants opens in trade area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SBCS: only 13% of firms plan to relocate, but a local surge shifts math.</w:t>
            </w:r>
          </w:p>
        </w:tc>
      </w:tr>
    </w:tbl>
    <w:p>
      <w:pPr>
        <w:spacing w:after="80"/>
      </w:pPr>
      <w:r>
        <w:rPr>
          <w:b/>
          <w:color w:val="1F3A5F"/>
          <w:sz w:val="24"/>
        </w:rPr>
        <w:t>Placeholder Values  (overwrite in workbook to test your own numbers)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728"/>
            <w:shd w:fill="1F3A5F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2160"/>
            <w:shd w:fill="1F3A5F"/>
          </w:tcPr>
          <w:p>
            <w:r>
              <w:rPr>
                <w:b/>
                <w:color w:val="FFFFFF"/>
                <w:sz w:val="18"/>
              </w:rPr>
              <w:t>Placeholder</w:t>
            </w:r>
          </w:p>
        </w:tc>
        <w:tc>
          <w:tcPr>
            <w:tcW w:type="dxa" w:w="2880"/>
            <w:shd w:fill="1F3A5F"/>
          </w:tcPr>
          <w:p>
            <w:r>
              <w:rPr>
                <w:b/>
                <w:color w:val="FFFFFF"/>
                <w:sz w:val="18"/>
              </w:rPr>
              <w:t>Where</w:t>
            </w:r>
          </w:p>
        </w:tc>
        <w:tc>
          <w:tcPr>
            <w:tcW w:type="dxa" w:w="3312"/>
            <w:shd w:fill="1F3A5F"/>
          </w:tcPr>
          <w:p>
            <w:r>
              <w:rPr>
                <w:b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Loan size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$750,000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Workbook: Debt Capacity!C5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Casual-dining single-unit buildout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Amortization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7 years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Workbook: Debt Capacity!C6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SBA 7(a) typical range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Fixed period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 years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Workbook: Debt Capacity!C7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More conservative end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Rate anchor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8.50% (SBCS median)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Workbook: Debt Capacity!C8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2024 SBCS; 487 bps over Fed Funds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AUV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$1,400,000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Workbook: Debt Capacity!C9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Casual-dining industry average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Net margin range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8% / 10% / 12%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Workbook: Debt Capacity!C10:C12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Restaurant industry 5-12%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Concept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Casual dining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See assumptions sheet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Change shifts AUV and margin</w:t>
            </w:r>
          </w:p>
        </w:tc>
      </w:tr>
    </w:tbl>
    <w:p>
      <w:pPr>
        <w:spacing w:after="80"/>
      </w:pPr>
      <w:r>
        <w:rPr>
          <w:b/>
          <w:color w:val="1F3A5F"/>
          <w:sz w:val="24"/>
        </w:rPr>
        <w:t>Bottom Line</w:t>
      </w:r>
    </w:p>
    <w:p>
      <w:pPr>
        <w:spacing w:after="40"/>
      </w:pPr>
      <w:r>
        <w:rPr>
          <w:b w:val="0"/>
          <w:color w:val="1F2937"/>
          <w:sz w:val="20"/>
        </w:rPr>
        <w:t>Borrow today, but only as a CONDITIONAL YES. Lock a fixed rate; cap the principal at the cash-flow capacity the workbook computes (~$614K at 8.50% / 10% net); lead with a community bank or SBA 7(a)/504 lender; and set hard triggers so you re-open the case if rates or margins move against you before close. The seven conditions in this memo gate the deal — none are optional.</w:t>
      </w:r>
    </w:p>
    <w:p>
      <w:r>
        <w:rPr>
          <w:i/>
          <w:color w:val="6B7280"/>
          <w:sz w:val="16"/>
        </w:rPr>
        <w:t>Prepared by Simkins &amp; Elgazar LLC | Confidential - Prepared by UnifiedAnalyst (automated analysis). Review before use.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